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集成电路布图设计保护条例</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(2001年3月28日国务院第36次常务会议通过　2001年4月2日中华人民共和国国务院令第300号公布　自2001年10月1日起施行)</w:t>
      </w:r>
    </w:p>
    <w:p>
      <w:pPr>
        <w:pStyle w:val="2"/>
        <w:bidi w:val="0"/>
      </w:pPr>
      <w:r>
        <w:t>第</w:t>
      </w:r>
      <w:bookmarkStart w:id="0" w:name="_GoBack"/>
      <w:bookmarkEnd w:id="0"/>
      <w:r>
        <w:t>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为了保护集成电路布图设计专有权，鼓励集成电路技术的创新，促进科学技术的发展，制定本条例。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本条例下列用语的含义：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(一)集成电路，是指半导体集成电路，即以半导体材料为基片，将至少有一个是有源元件的两个以上元件和部分或者全部互连线路集成在基片之中或者基片之上，以执行某种电子功能的中间产品或者最终产品；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(二)集成电路布图设计(以下简称布图设计)，是指集成电路中至少有一个是有源元件的两个以上元件和部分或者全部互连线路的三维配置，或者为制造集成电路而准备的上述三维配置；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(三)布图设计权利人，是指依照本条例的规定，对布图设计享有专有权的自然人、法人或者其他组织；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(四)复制，是指重复制作布图设计或者含有该布图设计的集成电路的行为；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(五)商业利用，是指为商业目的进口、销售或者以其他方式提供受保护的布图设计、含有该布图设计的集成电路或者含有该集成电路的物品的行为。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中国自然人、法人或者其他组织创作的布图设计，依照本条例享有布图设计专有权。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外国人创作的布图设计首先在中国境内投入商业利用的，依照本条例享有布图设计专有权。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外国人创作的布图设计，其创作者所属国同中国签订有关布图设计保护协议或者与中国共同参加有关布图设计保护国际条约的，依照本条例享有布图设计专有权。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受保护的布图设计应当具有独创性，即该布图设计是创作者自己的智力劳动成果，并且在其创作时该布图设计在布图设计创作者和集成电路制造者中不是公认的常规设计。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受保护的由常规设计组成的布图设计，其组合作为整体应当符合前款规定的条件。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本条例对布图设计的保护，不延及思想、处理过程、操作方法或者数学概念等。</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国务院知识产权行政部门依照本条例的规定，负责布图设计专有权的有关管理工作。</w:t>
      </w:r>
    </w:p>
    <w:p>
      <w:pPr>
        <w:pStyle w:val="2"/>
        <w:bidi w:val="0"/>
      </w:pPr>
      <w:r>
        <w:t>第二章　布图设计专有权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布图设计权利人享有下列专有权：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(一)对受保护的布图设计的全部或者其中任何具有独创性的部分进行复制；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(二)将受保护的布图设计、含有该布图设计的集成电路或者含有该集成电路的物品投入商业利用。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布图设计专有权经国务院知识产权行政部门登记产生。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未经登记的布图设计不受本条例保护。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布图设计专有权属于布图设计创作者，本条例另有规定的除外。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由法人或者其他组织主持，依据法人或者其他组织的意志而创作，并由法人或者其他组织承担责任的布图设计，该法人或者其他组织是创作者。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由自然人创作的布图设计，该自然人是创作者。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两个以上自然人、法人或者其他组织合作创作的布图设计，其专有权的归属由合作者约定；未作约定或者约定不明的，其专有权由合作者共同享有。</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受委托创作的布图设计，其专有权的归属由委托人和受托人双方约定；未作约定或者约定不明的，其专有权由受托人享有。</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布图设计专有权的保护期为10年，自布图设计登记申请之日或者在世界任何地方首次投入商业利用之日起计算，以较前日期为准。但是，无论是否登记或者投入商业利用，布图设计自创作完成之日起15年后，不再受本条例保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布图设计专有权属于自然人的，该自然人死亡后，其专有权在本条例规定的保护期内依照继承法的规定转移。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布图设计专有权属于法人或者其他组织的，法人或者其他组织变更、终止后，其专有权在本条例规定的保护期内由承继其权利、义务的法人或者其他组织享有；没有承继其权利、义务的法人或者其他组织的，该布图设计进入公有领域。</w:t>
      </w:r>
    </w:p>
    <w:p>
      <w:pPr>
        <w:pStyle w:val="2"/>
        <w:bidi w:val="0"/>
      </w:pPr>
      <w:r>
        <w:t>第三章　布图设计的登记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国务院知识产权行政部门负责布图设计登记工作，受理布图设计登记申请。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申请登记的布图设计涉及国家安全或者重大利益，需要保密的，按照国家有关规定办理。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申请布图设计登记，应当提交：</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(一)布图设计登记申请表；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(二)布图设计的复制件或者图样；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(三)布图设计已投入商业利用的，提交含有该布图设计的集成电路样品；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(四)国务院知识产权行政部门规定的其他材料。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布图设计自其在世界任何地方首次商业利用之日起2年内，未向国务院知识产权行政部门提出登记申请的，国务院知识产权行政部门不再予以登记。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布图设计登记申请经初步审查，未发现驳回理由的，由国务院知识产权行政部门予以登记，发给登记证明文件，并予以公告。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布图设计登记申请人对国务院知识产权行政部门驳回其登记申请的决定不服的，可以自收到通知之日起3个月内，向国务院知识产权行政部门请求复审。国务院知识产权行政部门复审后，作出决定，并通知布图设计登记申请人。布图设计登记申请人对国务院知识产权行政部门的复审决定仍不服的，可以自收到通知之日起3个月内向人民法院起诉。</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布图设计获准登记后，国务院知识产权行政部门发现该登记不符合本条例规定的，应当予以撤销，通知布图设计权利人，并予以公告。布图设计权利人对国务院知识产权行政部门撤销布图设计登记的决定不服的，可以自收到通知之日起3个月内向人民法院起诉。</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在布图设计登记公告前，国务院知识产权行政部门的工作人员对其内容负有保密义务。</w:t>
      </w:r>
    </w:p>
    <w:p>
      <w:pPr>
        <w:pStyle w:val="2"/>
        <w:bidi w:val="0"/>
      </w:pPr>
      <w:r>
        <w:t>第四章　布图设计专有权的行使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布图设计权利人可以将其专有权转让或者许可他人使用其布图设计。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转让布图设计专有权的，当事人应当订立书面合同，并向国务院知识产权行政部门登记，由国务院知识产权行政部门予以公告。布图设计专有权的转让自登记之日起生效。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许可他人使用其布图设计的，当事人应当订立书面合同。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下列行为可以不经布图设计权利人许可，不向其支付报酬：</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(一)为个人目的或者单纯为评价、分析、研究、教学等目的而复制受保护的布图设计的；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(二)在依据前项评价、分析受保护的布图设计的基础上，创作出具有独创性的布图设计的；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(三)对自己独立创作的与他人相同的布图设计进行复制或者将其投入商业利用的。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受保护的布图设计、含有该布图设计的集成电路或者含有该集成电路的物品，由布图设计权利人或者经其许可投放市场后，他人再次商业利用的，可以不经布图设计权利人许可，并不向其支付报酬。</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在国家出现紧急状态或者非常情况时，或者为了公共利益的目的，或者经人民法院、不正当竞争行为监督检查部门依法认定布图设计权利人有不正当竞争行为而需要给予补救时，国务院知识产权行政部门可以给予使用其布图设计的非自愿许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国务院知识产权行政部门作出给予使用布图设计非自愿许可的决定，应当及时通知布图设计权利人。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给予使用布图设计非自愿许可的决定，应当根据非自愿许可的理由，规定使用的范围和时间，其范围应当限于为公共目的非商业性使用，或者限于经人民法院、不正当竞争行为监督检查部门依法认定布图设计权利人有不正当竞争行为而需要给予的补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非自愿许可的理由消除并不再发生时，国务院知识产权行政部门应当根据布图设计权利人的请求，经审查后作出终止使用布图设计非自愿许可的决定。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取得使用布图设计非自愿许可的自然人、法人或者其他组织不享有独占的使用权，并且无权允许他人使用。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取得使用布图设计非自愿许可的自然人、法人或者其他组织应当向布图设计权利人支付合理的报酬，其数额由双方协商；双方不能达成协议的，由国务院知识产权行政部门裁决。</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布图设计权利人对国务院知识产权行政部门关于使用布图设计非自愿许可的决定不服的，布图设计权利人和取得非自愿许可的自然人、法人或者其他组织对国务院知识产权行政部门关于使用布图设计非自愿许可的报酬的裁决不服的，可以自收到通知之日起3个月内向人民法院起诉。</w:t>
      </w:r>
    </w:p>
    <w:p>
      <w:pPr>
        <w:pStyle w:val="2"/>
        <w:bidi w:val="0"/>
      </w:pPr>
      <w:r>
        <w:t>第五章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除本条例另有规定的外，未经布图设计权利人许可，有下列行为之一的，行为人必须立即停止侵权行为，并承担赔偿责任：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(一)复制受保护的布图设计的全部或者其中任何具有独创性的部分的；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(二)为商业目的进口、销售或者以其他方式提供受保护的布图设计、含有该布图设计的集成电路或者含有该集成电路的物品的。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侵犯布图设计专有权的赔偿数额，为侵权人所获得的利益或者被侵权人所受到的损失，包括被侵权人为制止侵权行为所支付的合理开支。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未经布图设计权利人许可，使用其布图设计，即侵犯其布图设计专有权，引起纠纷的，由当事人协商解决；不愿协商或者协商不成的，布图设计权利人或者利害关系人可以向人民法院起诉，也可以请求国务院知识产权行政部门处理。国务院知识产权行政部门处理时，认定侵权行为成立的，可以责令侵权人立即停止侵权行为，没收、销毁侵权产品或者物品。当事人不服的，可以自收到处理通知之日起15日内依照《中华人民共和国行政诉讼法》向人民法院起诉；侵权人期满不起诉又不停止侵权行为的，国务院知识产权行政部门可以请求人民法院强制执行。应当事人的请求，国务院知识产权行政部门可以就侵犯布图设计专有权的赔偿数额进行调解；调解不成的，当事人可以依照《中华人民共和国民事诉讼法》向人民法院起诉。</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布图设计权利人或者利害关系人有证据证明他人正在实施或者即将实施侵犯其专有权的行为，如不及时制止将会使其合法权益受到难以弥补的损害的，可以在起诉前依法向人民法院申请采取责令停止有关行为和财产保全的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在获得含有受保护的布图设计的集成电路或者含有该集成电路的物品时，不知道也没有合理理由应当知道其中含有非法复制的布图设计，而将其投入商业利用的，不视为侵权。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前款行为人得到其中含有非法复制的布图设计的明确通知后，可以继续将现有的存货或者此前的订货投入商业利用，但应当向布图设计权利人支付合理的报酬。</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国务院知识产权行政部门的工作人员在布图设计管理工作中玩忽职守、滥用职权、徇私舞弊，构成犯罪的，依法追究刑事责任；尚不构成犯罪的，依法给予行政处分。</w:t>
      </w:r>
    </w:p>
    <w:p>
      <w:pPr>
        <w:pStyle w:val="2"/>
        <w:bidi w:val="0"/>
      </w:pPr>
      <w:r>
        <w:t>第六章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申请布图设计登记和办理其他手续，应当按照规定缴纳费用。缴费标准由国务院物价主管部门、国务院知识产权行政部门制定，并由国务院知识产权行政部门公告。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本条例自2001年10月1日起施行。</w:t>
      </w:r>
    </w:p>
    <w:sectPr>
      <w:footerReference r:id="rId3" w:type="default"/>
      <w:pgSz w:w="11906" w:h="16838"/>
      <w:pgMar w:top="1440" w:right="1753" w:bottom="1440" w:left="1753"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
    <w:altName w:val="Dark Courier"/>
    <w:panose1 w:val="00000000000000000000"/>
    <w:charset w:val="00"/>
    <w:family w:val="auto"/>
    <w:pitch w:val="default"/>
    <w:sig w:usb0="00000000" w:usb1="00000000" w:usb2="00000000" w:usb3="00000000" w:csb0="00000000" w:csb1="00000000"/>
  </w:font>
  <w:font w:name="Dark Courier">
    <w:panose1 w:val="02070409020205020404"/>
    <w:charset w:val="00"/>
    <w:family w:val="auto"/>
    <w:pitch w:val="default"/>
    <w:sig w:usb0="00000000" w:usb1="00000000" w:usb2="00000000" w:usb3="00000000" w:csb0="00000093" w:csb1="00000000"/>
  </w:font>
  <w:font w:name="方正中倩_GBK">
    <w:panose1 w:val="03000509000000000000"/>
    <w:charset w:val="86"/>
    <w:family w:val="auto"/>
    <w:pitch w:val="default"/>
    <w:sig w:usb0="00000001" w:usb1="080E0000" w:usb2="00000000" w:usb3="00000000" w:csb0="00040000" w:csb1="00000000"/>
  </w:font>
  <w:font w:name="方正">
    <w:altName w:val="Dark Courier"/>
    <w:panose1 w:val="00000000000000000000"/>
    <w:charset w:val="00"/>
    <w:family w:val="auto"/>
    <w:pitch w:val="default"/>
    <w:sig w:usb0="00000000" w:usb1="00000000" w:usb2="00000000" w:usb3="00000000" w:csb0="00000000" w:csb1="00000000"/>
  </w:font>
  <w:font w:name="方正黑">
    <w:altName w:val="黑体"/>
    <w:panose1 w:val="00000000000000000000"/>
    <w:charset w:val="00"/>
    <w:family w:val="auto"/>
    <w:pitch w:val="default"/>
    <w:sig w:usb0="00000000" w:usb1="00000000" w:usb2="00000000" w:usb3="00000000" w:csb0="0000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155E2CB3"/>
    <w:rsid w:val="18413C16"/>
    <w:rsid w:val="2FF20DF5"/>
    <w:rsid w:val="2FFD72E7"/>
    <w:rsid w:val="354E143B"/>
    <w:rsid w:val="4EDF3D2B"/>
    <w:rsid w:val="4F4F26F0"/>
    <w:rsid w:val="5080370D"/>
    <w:rsid w:val="61152047"/>
    <w:rsid w:val="620467BA"/>
    <w:rsid w:val="622D2BEC"/>
    <w:rsid w:val="65BF6566"/>
    <w:rsid w:val="6DB87D30"/>
    <w:rsid w:val="778F2A81"/>
    <w:rsid w:val="7814798C"/>
    <w:rsid w:val="7A6D55E9"/>
    <w:rsid w:val="7B2B5F0E"/>
    <w:rsid w:val="7C0E15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方正黑体_GBK" w:asciiTheme="minorAscii" w:hAnsiTheme="minorAscii"/>
      <w:bCs/>
      <w:kern w:val="44"/>
      <w:sz w:val="32"/>
      <w:szCs w:val="44"/>
    </w:rPr>
  </w:style>
  <w:style w:type="paragraph" w:styleId="3">
    <w:name w:val="heading 2"/>
    <w:basedOn w:val="1"/>
    <w:next w:val="1"/>
    <w:link w:val="2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1"/>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方正黑体_GBK" w:asciiTheme="minorAscii" w:hAnsiTheme="minorAscii"/>
      <w:bCs/>
      <w:kern w:val="44"/>
      <w:sz w:val="32"/>
      <w:szCs w:val="44"/>
    </w:rPr>
  </w:style>
  <w:style w:type="character" w:customStyle="1" w:styleId="20">
    <w:name w:val="标题 2 Char"/>
    <w:basedOn w:val="15"/>
    <w:link w:val="3"/>
    <w:semiHidden/>
    <w:qFormat/>
    <w:uiPriority w:val="9"/>
    <w:rPr>
      <w:rFonts w:asciiTheme="majorHAnsi" w:hAnsiTheme="majorHAnsi" w:eastAsiaTheme="majorEastAsia" w:cstheme="majorBidi"/>
      <w:b/>
      <w:bCs/>
      <w:sz w:val="32"/>
      <w:szCs w:val="32"/>
    </w:rPr>
  </w:style>
  <w:style w:type="character" w:customStyle="1" w:styleId="21">
    <w:name w:val="标题 3 Char"/>
    <w:basedOn w:val="15"/>
    <w:link w:val="4"/>
    <w:semiHidden/>
    <w:qFormat/>
    <w:uiPriority w:val="9"/>
    <w:rPr>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3</TotalTime>
  <ScaleCrop>false</ScaleCrop>
  <LinksUpToDate>false</LinksUpToDate>
  <CharactersWithSpaces>1790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2019-07-05T06:01:13Z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